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A8C31" w14:textId="61E29D5B" w:rsidR="004D534C" w:rsidRDefault="00C31124" w:rsidP="00B8489E">
      <w:pPr>
        <w:pStyle w:val="Heading1"/>
      </w:pPr>
      <w:r>
        <w:t xml:space="preserve">Course Syllabus </w:t>
      </w:r>
      <w:r w:rsidR="360A6EB2">
        <w:t>Revision</w:t>
      </w:r>
    </w:p>
    <w:p w14:paraId="4D9B84D5" w14:textId="11CBDF53" w:rsidR="00B8489E" w:rsidRDefault="00B8489E" w:rsidP="004D534C"/>
    <w:p w14:paraId="63915E2F" w14:textId="2896DE9B" w:rsidR="00DB67EB" w:rsidRDefault="00B8489E" w:rsidP="00836A86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Course</w:t>
      </w:r>
      <w:r w:rsidR="00836A8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3F667F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Intermediate Accounting II</w:t>
      </w:r>
    </w:p>
    <w:p w14:paraId="2EB93D58" w14:textId="667A7548" w:rsidR="00B8489E" w:rsidRPr="00D616F4" w:rsidRDefault="00B8489E" w:rsidP="004D534C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Section: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3F667F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001, 002, 003, 004, 005</w:t>
      </w:r>
    </w:p>
    <w:p w14:paraId="5F7CB731" w14:textId="38E0D662" w:rsidR="4B2549AA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>Course Coordinator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3F667F">
        <w:rPr>
          <w:rFonts w:ascii="Calibri" w:eastAsia="Calibri" w:hAnsi="Calibri" w:cs="Calibri"/>
          <w:b/>
          <w:bCs/>
          <w:color w:val="000000" w:themeColor="text1"/>
          <w:lang w:val="en-US"/>
        </w:rPr>
        <w:t>Christina Maco</w:t>
      </w:r>
    </w:p>
    <w:p w14:paraId="47F75B24" w14:textId="11588A4E" w:rsidR="00B8489E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Revision 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Date: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3F667F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March </w:t>
      </w:r>
      <w:r w:rsidR="004D7F91">
        <w:rPr>
          <w:rFonts w:ascii="Calibri" w:eastAsia="Calibri" w:hAnsi="Calibri" w:cs="Calibri"/>
          <w:b/>
          <w:bCs/>
          <w:color w:val="000000" w:themeColor="text1"/>
          <w:lang w:val="en-US"/>
        </w:rPr>
        <w:t>27</w:t>
      </w:r>
      <w:r w:rsidR="003F667F">
        <w:rPr>
          <w:rFonts w:ascii="Calibri" w:eastAsia="Calibri" w:hAnsi="Calibri" w:cs="Calibri"/>
          <w:b/>
          <w:bCs/>
          <w:color w:val="000000" w:themeColor="text1"/>
          <w:lang w:val="en-US"/>
        </w:rPr>
        <w:t>, 2020</w:t>
      </w:r>
    </w:p>
    <w:p w14:paraId="79F31BCF" w14:textId="295A0CE8" w:rsidR="00DB67EB" w:rsidRPr="00DB67EB" w:rsidRDefault="00DB67EB" w:rsidP="00DB67EB"/>
    <w:p w14:paraId="57DD76C4" w14:textId="019E5581" w:rsidR="0635E7A6" w:rsidRDefault="0635E7A6" w:rsidP="0635E7A6">
      <w:pPr>
        <w:jc w:val="both"/>
      </w:pP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Given </w:t>
      </w:r>
      <w:r w:rsidR="6EEE859C" w:rsidRPr="6EEE859C">
        <w:rPr>
          <w:rFonts w:ascii="Calibri" w:eastAsia="Calibri" w:hAnsi="Calibri" w:cs="Calibri"/>
          <w:color w:val="000000" w:themeColor="text1"/>
          <w:lang w:val="en-US"/>
        </w:rPr>
        <w:t>Western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 xml:space="preserve"> Universit</w:t>
      </w:r>
      <w:r w:rsidR="0075087B">
        <w:rPr>
          <w:rFonts w:ascii="Calibri" w:eastAsia="Calibri" w:hAnsi="Calibri" w:cs="Calibri"/>
          <w:color w:val="000000" w:themeColor="text1"/>
          <w:lang w:val="en-US"/>
        </w:rPr>
        <w:t>y’s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directive to move all 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>undergraduate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classes online beginning Wednesday, March 18, it is necessary to revise the course </w:t>
      </w:r>
      <w:r w:rsidR="00693884">
        <w:rPr>
          <w:rFonts w:ascii="Calibri" w:eastAsia="Calibri" w:hAnsi="Calibri" w:cs="Calibri"/>
          <w:color w:val="000000" w:themeColor="text1"/>
          <w:lang w:val="en-US"/>
        </w:rPr>
        <w:t>content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755F6E84" w:rsidRPr="755F6E84">
        <w:rPr>
          <w:rFonts w:ascii="Calibri" w:eastAsia="Calibri" w:hAnsi="Calibri" w:cs="Calibri"/>
          <w:color w:val="000000" w:themeColor="text1"/>
          <w:lang w:val="en-US"/>
        </w:rPr>
        <w:t xml:space="preserve">and 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>assessment</w:t>
      </w:r>
      <w:r w:rsidR="00CB2279">
        <w:rPr>
          <w:rFonts w:ascii="Calibri" w:eastAsia="Calibri" w:hAnsi="Calibri" w:cs="Calibri"/>
          <w:color w:val="000000" w:themeColor="text1"/>
          <w:lang w:val="en-US"/>
        </w:rPr>
        <w:t>s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 xml:space="preserve"> for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the course specified above.  The purpose of this document is to communicate these revisions in a clear and concise manner.  This document serves as a formal revision to the course outline and any revisions to the grading scheme supersede previously agreed-upon course requirements.</w:t>
      </w:r>
      <w:r w:rsidR="000E1D40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</w:p>
    <w:p w14:paraId="2BA6845C" w14:textId="31BF49BD" w:rsidR="0635E7A6" w:rsidRDefault="0635E7A6" w:rsidP="0635E7A6"/>
    <w:p w14:paraId="71BA3778" w14:textId="0FEEFB4C" w:rsidR="00E026F8" w:rsidRDefault="00E026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685"/>
      </w:tblGrid>
      <w:tr w:rsidR="00362414" w14:paraId="12652396" w14:textId="77777777" w:rsidTr="000F50AC">
        <w:tc>
          <w:tcPr>
            <w:tcW w:w="1980" w:type="dxa"/>
          </w:tcPr>
          <w:p w14:paraId="77FAC89B" w14:textId="59277563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Week of…</w:t>
            </w:r>
          </w:p>
        </w:tc>
        <w:tc>
          <w:tcPr>
            <w:tcW w:w="3685" w:type="dxa"/>
          </w:tcPr>
          <w:p w14:paraId="6AEED15A" w14:textId="72F5164C" w:rsidR="00362414" w:rsidRPr="000F50AC" w:rsidRDefault="004D534C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Original course content</w:t>
            </w:r>
            <w:r w:rsidR="006B5416">
              <w:rPr>
                <w:b/>
                <w:bCs/>
              </w:rPr>
              <w:t>/delivery</w:t>
            </w:r>
          </w:p>
        </w:tc>
        <w:tc>
          <w:tcPr>
            <w:tcW w:w="3685" w:type="dxa"/>
          </w:tcPr>
          <w:p w14:paraId="66E24B06" w14:textId="5CF98AC4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Revised course content</w:t>
            </w:r>
            <w:r w:rsidR="006B5416">
              <w:rPr>
                <w:b/>
                <w:bCs/>
              </w:rPr>
              <w:t>/delivery</w:t>
            </w:r>
          </w:p>
        </w:tc>
      </w:tr>
      <w:tr w:rsidR="00362414" w14:paraId="451E10DA" w14:textId="77777777" w:rsidTr="000F50AC">
        <w:tc>
          <w:tcPr>
            <w:tcW w:w="1980" w:type="dxa"/>
          </w:tcPr>
          <w:p w14:paraId="4D12F560" w14:textId="382B0325" w:rsidR="00362414" w:rsidRDefault="004D534C">
            <w:r>
              <w:t>March 9–15</w:t>
            </w:r>
          </w:p>
        </w:tc>
        <w:tc>
          <w:tcPr>
            <w:tcW w:w="3685" w:type="dxa"/>
          </w:tcPr>
          <w:p w14:paraId="6B5C5371" w14:textId="019AA021" w:rsidR="00362414" w:rsidRDefault="003F667F">
            <w:r>
              <w:t>Covered</w:t>
            </w:r>
          </w:p>
        </w:tc>
        <w:tc>
          <w:tcPr>
            <w:tcW w:w="3685" w:type="dxa"/>
          </w:tcPr>
          <w:p w14:paraId="4FFA01A6" w14:textId="6490D093" w:rsidR="00362414" w:rsidRPr="003A53C8" w:rsidRDefault="00FC4849">
            <w:r>
              <w:t>n/a</w:t>
            </w:r>
          </w:p>
        </w:tc>
      </w:tr>
      <w:tr w:rsidR="004D534C" w14:paraId="6B8E6BE8" w14:textId="77777777" w:rsidTr="000F50AC">
        <w:tc>
          <w:tcPr>
            <w:tcW w:w="1980" w:type="dxa"/>
          </w:tcPr>
          <w:p w14:paraId="2D7942FA" w14:textId="34E52770" w:rsidR="004D534C" w:rsidRDefault="004D534C" w:rsidP="004D534C">
            <w:r>
              <w:t xml:space="preserve">March </w:t>
            </w:r>
            <w:r w:rsidR="002A0A3D">
              <w:t>16</w:t>
            </w:r>
            <w:r>
              <w:t>–</w:t>
            </w:r>
            <w:r w:rsidR="002A0A3D">
              <w:t>22</w:t>
            </w:r>
          </w:p>
        </w:tc>
        <w:tc>
          <w:tcPr>
            <w:tcW w:w="3685" w:type="dxa"/>
          </w:tcPr>
          <w:p w14:paraId="200B4B1C" w14:textId="3AF44BA3" w:rsidR="00FA38F6" w:rsidRDefault="003F667F" w:rsidP="004D534C">
            <w:r>
              <w:t xml:space="preserve">Chapter 21 – Accounting Changes and Error Analysis </w:t>
            </w:r>
          </w:p>
        </w:tc>
        <w:tc>
          <w:tcPr>
            <w:tcW w:w="3685" w:type="dxa"/>
          </w:tcPr>
          <w:p w14:paraId="6C4D464A" w14:textId="11260F31" w:rsidR="00656216" w:rsidRPr="003A53C8" w:rsidRDefault="003F667F" w:rsidP="004D534C">
            <w:r>
              <w:t>Same content – slides and recordings on OWL</w:t>
            </w:r>
          </w:p>
        </w:tc>
      </w:tr>
      <w:tr w:rsidR="004D534C" w14:paraId="4372DDEB" w14:textId="77777777" w:rsidTr="000F50AC">
        <w:tc>
          <w:tcPr>
            <w:tcW w:w="1980" w:type="dxa"/>
          </w:tcPr>
          <w:p w14:paraId="51CE9A31" w14:textId="7DF97772" w:rsidR="004D534C" w:rsidRDefault="004D534C" w:rsidP="004D534C">
            <w:r>
              <w:t xml:space="preserve">March </w:t>
            </w:r>
            <w:r w:rsidR="002A0A3D">
              <w:t>23</w:t>
            </w:r>
            <w:r>
              <w:t>–</w:t>
            </w:r>
            <w:r w:rsidR="008A004A">
              <w:t>29</w:t>
            </w:r>
          </w:p>
        </w:tc>
        <w:tc>
          <w:tcPr>
            <w:tcW w:w="3685" w:type="dxa"/>
          </w:tcPr>
          <w:p w14:paraId="7DFE2DD4" w14:textId="3430F911" w:rsidR="004D534C" w:rsidRDefault="003F667F" w:rsidP="00FA38F6">
            <w:r>
              <w:t>Chapter 22 – Statement of Cash Flows</w:t>
            </w:r>
          </w:p>
        </w:tc>
        <w:tc>
          <w:tcPr>
            <w:tcW w:w="3685" w:type="dxa"/>
          </w:tcPr>
          <w:p w14:paraId="1B310AAA" w14:textId="537ADEC7" w:rsidR="004D534C" w:rsidRPr="003A53C8" w:rsidRDefault="003F667F" w:rsidP="003C56C5">
            <w:r>
              <w:t>Same content – slides and recordings on OWL</w:t>
            </w:r>
          </w:p>
        </w:tc>
      </w:tr>
      <w:tr w:rsidR="004D534C" w14:paraId="1B158702" w14:textId="77777777" w:rsidTr="000F50AC">
        <w:tc>
          <w:tcPr>
            <w:tcW w:w="1980" w:type="dxa"/>
          </w:tcPr>
          <w:p w14:paraId="28B8691F" w14:textId="0031DD3C" w:rsidR="004D534C" w:rsidRDefault="004D534C" w:rsidP="004D534C">
            <w:r>
              <w:t xml:space="preserve">March </w:t>
            </w:r>
            <w:r w:rsidR="008A004A">
              <w:t>30</w:t>
            </w:r>
            <w:r>
              <w:t>–</w:t>
            </w:r>
            <w:r w:rsidR="008A004A">
              <w:t>April 3</w:t>
            </w:r>
          </w:p>
        </w:tc>
        <w:tc>
          <w:tcPr>
            <w:tcW w:w="3685" w:type="dxa"/>
          </w:tcPr>
          <w:p w14:paraId="45A5A18E" w14:textId="6944E954" w:rsidR="004D534C" w:rsidRDefault="003F667F" w:rsidP="00FA38F6">
            <w:r>
              <w:t>Review class</w:t>
            </w:r>
          </w:p>
        </w:tc>
        <w:tc>
          <w:tcPr>
            <w:tcW w:w="3685" w:type="dxa"/>
          </w:tcPr>
          <w:p w14:paraId="7E338F83" w14:textId="367CCE49" w:rsidR="003D66BE" w:rsidRPr="003A53C8" w:rsidRDefault="003F667F" w:rsidP="004D534C">
            <w:r>
              <w:t>Students to post any questions on OWL or email</w:t>
            </w:r>
          </w:p>
        </w:tc>
      </w:tr>
    </w:tbl>
    <w:p w14:paraId="5E2B3A18" w14:textId="77777777" w:rsidR="00E026F8" w:rsidRDefault="00E026F8"/>
    <w:p w14:paraId="5E942CF8" w14:textId="23EA1D35" w:rsidR="007E3ECF" w:rsidRPr="00D769B5" w:rsidRDefault="00D769B5">
      <w:pPr>
        <w:rPr>
          <w:b/>
          <w:bCs/>
        </w:rPr>
      </w:pPr>
      <w:r w:rsidRPr="00D769B5">
        <w:rPr>
          <w:b/>
          <w:bCs/>
        </w:rPr>
        <w:t>Original course assessments</w:t>
      </w:r>
      <w:r w:rsidR="202F6D98" w:rsidRPr="202F6D98">
        <w:rPr>
          <w:b/>
          <w:bCs/>
        </w:rPr>
        <w:t xml:space="preserve"> (weighting should </w:t>
      </w:r>
      <w:r w:rsidR="0447A425" w:rsidRPr="0447A425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1275"/>
        <w:gridCol w:w="1985"/>
        <w:gridCol w:w="1700"/>
      </w:tblGrid>
      <w:tr w:rsidR="009B642A" w14:paraId="2DF2C9B1" w14:textId="08DD8FFC" w:rsidTr="00FC4849">
        <w:tc>
          <w:tcPr>
            <w:tcW w:w="2263" w:type="dxa"/>
          </w:tcPr>
          <w:p w14:paraId="0E0C6C4A" w14:textId="5642516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2127" w:type="dxa"/>
          </w:tcPr>
          <w:p w14:paraId="0DA310ED" w14:textId="2EEAB1A1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275" w:type="dxa"/>
          </w:tcPr>
          <w:p w14:paraId="3CA135F6" w14:textId="2DE5105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1985" w:type="dxa"/>
          </w:tcPr>
          <w:p w14:paraId="43CD16DC" w14:textId="4E19DA76" w:rsidR="009B642A" w:rsidRPr="000F50AC" w:rsidRDefault="00CA0579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Original </w:t>
            </w:r>
            <w:r w:rsidR="009B642A">
              <w:rPr>
                <w:b/>
                <w:bCs/>
              </w:rPr>
              <w:t>Due Date</w:t>
            </w:r>
          </w:p>
        </w:tc>
        <w:tc>
          <w:tcPr>
            <w:tcW w:w="1700" w:type="dxa"/>
          </w:tcPr>
          <w:p w14:paraId="36E97A95" w14:textId="58B0898B" w:rsidR="009B642A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Completed?</w:t>
            </w:r>
          </w:p>
        </w:tc>
      </w:tr>
      <w:tr w:rsidR="009B642A" w14:paraId="5E233D02" w14:textId="47643A87" w:rsidTr="00FC4849">
        <w:tc>
          <w:tcPr>
            <w:tcW w:w="2263" w:type="dxa"/>
          </w:tcPr>
          <w:p w14:paraId="563067FC" w14:textId="04D070D4" w:rsidR="009B642A" w:rsidRDefault="003F667F" w:rsidP="00DD7615">
            <w:r>
              <w:t>Participation</w:t>
            </w:r>
          </w:p>
        </w:tc>
        <w:tc>
          <w:tcPr>
            <w:tcW w:w="2127" w:type="dxa"/>
          </w:tcPr>
          <w:p w14:paraId="1A1222D7" w14:textId="03A359A4" w:rsidR="009B642A" w:rsidRDefault="003F667F" w:rsidP="00DD7615">
            <w:r>
              <w:t>In class</w:t>
            </w:r>
          </w:p>
        </w:tc>
        <w:tc>
          <w:tcPr>
            <w:tcW w:w="1275" w:type="dxa"/>
          </w:tcPr>
          <w:p w14:paraId="6F9F79D6" w14:textId="483E43EC" w:rsidR="009B642A" w:rsidRDefault="003F667F" w:rsidP="00DD7615">
            <w:r>
              <w:t>10%</w:t>
            </w:r>
          </w:p>
        </w:tc>
        <w:tc>
          <w:tcPr>
            <w:tcW w:w="1985" w:type="dxa"/>
          </w:tcPr>
          <w:p w14:paraId="44CF41FC" w14:textId="56E4C70F" w:rsidR="009B642A" w:rsidRDefault="003F667F" w:rsidP="00DD7615">
            <w:r>
              <w:t>weekly</w:t>
            </w:r>
          </w:p>
        </w:tc>
        <w:tc>
          <w:tcPr>
            <w:tcW w:w="1700" w:type="dxa"/>
          </w:tcPr>
          <w:p w14:paraId="6B263424" w14:textId="73D22A37" w:rsidR="009B642A" w:rsidRPr="0077346F" w:rsidRDefault="00FC4849" w:rsidP="00DD7615">
            <w:r>
              <w:t>9 of 12 classes completed</w:t>
            </w:r>
          </w:p>
        </w:tc>
      </w:tr>
      <w:tr w:rsidR="00557AC5" w14:paraId="0ECEDFEF" w14:textId="77777777" w:rsidTr="00FC4849">
        <w:tc>
          <w:tcPr>
            <w:tcW w:w="2263" w:type="dxa"/>
          </w:tcPr>
          <w:p w14:paraId="1002B260" w14:textId="4C408771" w:rsidR="00557AC5" w:rsidRDefault="003F667F" w:rsidP="00557AC5">
            <w:proofErr w:type="spellStart"/>
            <w:r>
              <w:t>WileyPLUS</w:t>
            </w:r>
            <w:proofErr w:type="spellEnd"/>
            <w:r w:rsidR="001F5CFA">
              <w:t xml:space="preserve"> weekly </w:t>
            </w:r>
            <w:r w:rsidR="00073FB0">
              <w:t xml:space="preserve">chapter </w:t>
            </w:r>
            <w:r w:rsidR="001F5CFA">
              <w:t>assignments</w:t>
            </w:r>
          </w:p>
        </w:tc>
        <w:tc>
          <w:tcPr>
            <w:tcW w:w="2127" w:type="dxa"/>
          </w:tcPr>
          <w:p w14:paraId="5281C9A4" w14:textId="2DB6F374" w:rsidR="00557AC5" w:rsidRDefault="003F667F" w:rsidP="00557AC5">
            <w:r>
              <w:t xml:space="preserve">Online </w:t>
            </w:r>
          </w:p>
        </w:tc>
        <w:tc>
          <w:tcPr>
            <w:tcW w:w="1275" w:type="dxa"/>
          </w:tcPr>
          <w:p w14:paraId="58217E54" w14:textId="3868D464" w:rsidR="00557AC5" w:rsidRDefault="003F667F" w:rsidP="00557AC5">
            <w:r>
              <w:t>15%</w:t>
            </w:r>
          </w:p>
        </w:tc>
        <w:tc>
          <w:tcPr>
            <w:tcW w:w="1985" w:type="dxa"/>
          </w:tcPr>
          <w:p w14:paraId="17F84FFC" w14:textId="727981D1" w:rsidR="00557AC5" w:rsidRDefault="003F667F" w:rsidP="00557AC5">
            <w:r>
              <w:t>weekly</w:t>
            </w:r>
          </w:p>
        </w:tc>
        <w:tc>
          <w:tcPr>
            <w:tcW w:w="1700" w:type="dxa"/>
          </w:tcPr>
          <w:p w14:paraId="2C212681" w14:textId="0B6E6403" w:rsidR="00557AC5" w:rsidRPr="0077346F" w:rsidRDefault="003F667F" w:rsidP="00557AC5">
            <w:r>
              <w:t>8 of 10 completed</w:t>
            </w:r>
          </w:p>
        </w:tc>
      </w:tr>
      <w:tr w:rsidR="00557AC5" w14:paraId="55724070" w14:textId="2858E1C7" w:rsidTr="00FC4849">
        <w:tc>
          <w:tcPr>
            <w:tcW w:w="2263" w:type="dxa"/>
          </w:tcPr>
          <w:p w14:paraId="08E8551D" w14:textId="06044D39" w:rsidR="00557AC5" w:rsidRDefault="003F667F" w:rsidP="00557AC5">
            <w:r>
              <w:t>Midterm exam</w:t>
            </w:r>
          </w:p>
        </w:tc>
        <w:tc>
          <w:tcPr>
            <w:tcW w:w="2127" w:type="dxa"/>
          </w:tcPr>
          <w:p w14:paraId="5415F5C7" w14:textId="5E44894D" w:rsidR="00557AC5" w:rsidRDefault="003F667F" w:rsidP="00557AC5">
            <w:r>
              <w:t>3.5 hour written exam</w:t>
            </w:r>
          </w:p>
        </w:tc>
        <w:tc>
          <w:tcPr>
            <w:tcW w:w="1275" w:type="dxa"/>
          </w:tcPr>
          <w:p w14:paraId="6EB3074E" w14:textId="5D60BE0E" w:rsidR="00557AC5" w:rsidRDefault="003F667F" w:rsidP="00557AC5">
            <w:r>
              <w:t>35%</w:t>
            </w:r>
          </w:p>
        </w:tc>
        <w:tc>
          <w:tcPr>
            <w:tcW w:w="1985" w:type="dxa"/>
          </w:tcPr>
          <w:p w14:paraId="6982AEA1" w14:textId="0A75C439" w:rsidR="00557AC5" w:rsidRDefault="003F667F" w:rsidP="00557AC5">
            <w:r>
              <w:t>February 28, 2020</w:t>
            </w:r>
          </w:p>
        </w:tc>
        <w:tc>
          <w:tcPr>
            <w:tcW w:w="1700" w:type="dxa"/>
          </w:tcPr>
          <w:p w14:paraId="74DA4D68" w14:textId="5349F09B" w:rsidR="00557AC5" w:rsidRPr="001A47A4" w:rsidRDefault="003F667F" w:rsidP="00557AC5">
            <w:pPr>
              <w:rPr>
                <w:highlight w:val="yellow"/>
              </w:rPr>
            </w:pPr>
            <w:r w:rsidRPr="003F667F">
              <w:t>Yes</w:t>
            </w:r>
          </w:p>
        </w:tc>
      </w:tr>
      <w:tr w:rsidR="00557AC5" w14:paraId="612171AD" w14:textId="63453504" w:rsidTr="00FC4849">
        <w:tc>
          <w:tcPr>
            <w:tcW w:w="2263" w:type="dxa"/>
          </w:tcPr>
          <w:p w14:paraId="4E8A93A8" w14:textId="53285EB8" w:rsidR="00557AC5" w:rsidRDefault="003F667F" w:rsidP="00557AC5">
            <w:r>
              <w:t>Final exam</w:t>
            </w:r>
          </w:p>
        </w:tc>
        <w:tc>
          <w:tcPr>
            <w:tcW w:w="2127" w:type="dxa"/>
          </w:tcPr>
          <w:p w14:paraId="354F61BC" w14:textId="543DB0CF" w:rsidR="00557AC5" w:rsidRDefault="003F667F" w:rsidP="00557AC5">
            <w:r>
              <w:t>3.5 hour written exam</w:t>
            </w:r>
          </w:p>
        </w:tc>
        <w:tc>
          <w:tcPr>
            <w:tcW w:w="1275" w:type="dxa"/>
          </w:tcPr>
          <w:p w14:paraId="1F4D7D2D" w14:textId="6F5D6304" w:rsidR="00557AC5" w:rsidRDefault="003F667F" w:rsidP="00557AC5">
            <w:r>
              <w:t>40%</w:t>
            </w:r>
          </w:p>
        </w:tc>
        <w:tc>
          <w:tcPr>
            <w:tcW w:w="1985" w:type="dxa"/>
          </w:tcPr>
          <w:p w14:paraId="41652AA2" w14:textId="7887A277" w:rsidR="00557AC5" w:rsidRDefault="00FC4849" w:rsidP="00557AC5">
            <w:r>
              <w:t>During final exam period</w:t>
            </w:r>
          </w:p>
        </w:tc>
        <w:tc>
          <w:tcPr>
            <w:tcW w:w="1700" w:type="dxa"/>
          </w:tcPr>
          <w:p w14:paraId="710FB484" w14:textId="6043165E" w:rsidR="00557AC5" w:rsidRPr="00557AC5" w:rsidRDefault="003F667F" w:rsidP="00557AC5">
            <w:pPr>
              <w:rPr>
                <w:highlight w:val="yellow"/>
              </w:rPr>
            </w:pPr>
            <w:r w:rsidRPr="003F667F">
              <w:t>No</w:t>
            </w:r>
          </w:p>
        </w:tc>
      </w:tr>
    </w:tbl>
    <w:p w14:paraId="332ADA7B" w14:textId="77777777" w:rsidR="006B3356" w:rsidRDefault="006B3356"/>
    <w:p w14:paraId="31BE13A3" w14:textId="210C31EB" w:rsidR="00FF1420" w:rsidRPr="000D0CC2" w:rsidRDefault="006C78F1" w:rsidP="00986A8E">
      <w:pPr>
        <w:rPr>
          <w:b/>
          <w:bCs/>
        </w:rPr>
      </w:pPr>
      <w:r>
        <w:rPr>
          <w:b/>
          <w:bCs/>
        </w:rPr>
        <w:t>Revised</w:t>
      </w:r>
      <w:r w:rsidR="00986A8E" w:rsidRPr="00D769B5">
        <w:rPr>
          <w:b/>
          <w:bCs/>
        </w:rPr>
        <w:t xml:space="preserve"> course assessments</w:t>
      </w:r>
      <w:r w:rsidR="5A58CDCA" w:rsidRPr="5A58CDCA">
        <w:rPr>
          <w:b/>
          <w:bCs/>
        </w:rPr>
        <w:t xml:space="preserve"> (weighting should </w:t>
      </w:r>
      <w:r w:rsidR="009D4E83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1559"/>
        <w:gridCol w:w="4252"/>
      </w:tblGrid>
      <w:tr w:rsidR="006C78F1" w14:paraId="489CA39A" w14:textId="77777777" w:rsidTr="00F1319E">
        <w:tc>
          <w:tcPr>
            <w:tcW w:w="2263" w:type="dxa"/>
          </w:tcPr>
          <w:p w14:paraId="4891FC34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1276" w:type="dxa"/>
          </w:tcPr>
          <w:p w14:paraId="23852F62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559" w:type="dxa"/>
          </w:tcPr>
          <w:p w14:paraId="477789EF" w14:textId="6E6DA10F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  <w:r w:rsidR="00073FB0" w:rsidRPr="00073733">
              <w:rPr>
                <w:bCs/>
              </w:rPr>
              <w:t>†</w:t>
            </w:r>
          </w:p>
        </w:tc>
        <w:tc>
          <w:tcPr>
            <w:tcW w:w="4252" w:type="dxa"/>
          </w:tcPr>
          <w:p w14:paraId="4FF36CAA" w14:textId="77C169EC" w:rsidR="006C78F1" w:rsidRPr="000F50AC" w:rsidRDefault="00BE2255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Revised </w:t>
            </w:r>
            <w:r w:rsidR="0025176D">
              <w:rPr>
                <w:b/>
                <w:bCs/>
              </w:rPr>
              <w:t xml:space="preserve">Due </w:t>
            </w:r>
            <w:r w:rsidR="006C78F1">
              <w:rPr>
                <w:b/>
                <w:bCs/>
              </w:rPr>
              <w:t>Date</w:t>
            </w:r>
            <w:r w:rsidR="00846B4A">
              <w:rPr>
                <w:b/>
                <w:bCs/>
              </w:rPr>
              <w:t xml:space="preserve"> and Notes</w:t>
            </w:r>
          </w:p>
        </w:tc>
      </w:tr>
      <w:tr w:rsidR="000713B8" w14:paraId="056709AC" w14:textId="77777777" w:rsidTr="00F1319E">
        <w:tc>
          <w:tcPr>
            <w:tcW w:w="2263" w:type="dxa"/>
          </w:tcPr>
          <w:p w14:paraId="3C3D2FB9" w14:textId="6F1C84EB" w:rsidR="000713B8" w:rsidRDefault="00FC4849" w:rsidP="000713B8">
            <w:r>
              <w:t>Participation</w:t>
            </w:r>
          </w:p>
        </w:tc>
        <w:tc>
          <w:tcPr>
            <w:tcW w:w="1276" w:type="dxa"/>
          </w:tcPr>
          <w:p w14:paraId="125CB1D0" w14:textId="1EE28E4C" w:rsidR="000713B8" w:rsidRDefault="00FC4849" w:rsidP="000713B8">
            <w:r>
              <w:t>In class</w:t>
            </w:r>
          </w:p>
        </w:tc>
        <w:tc>
          <w:tcPr>
            <w:tcW w:w="1559" w:type="dxa"/>
          </w:tcPr>
          <w:p w14:paraId="091E37BB" w14:textId="4004AD44" w:rsidR="000713B8" w:rsidRPr="00816888" w:rsidRDefault="00FC4849" w:rsidP="000713B8">
            <w:r>
              <w:t>1</w:t>
            </w:r>
            <w:r w:rsidR="001F5CFA">
              <w:t>6.7</w:t>
            </w:r>
            <w:r>
              <w:t>%</w:t>
            </w:r>
          </w:p>
        </w:tc>
        <w:tc>
          <w:tcPr>
            <w:tcW w:w="4252" w:type="dxa"/>
          </w:tcPr>
          <w:p w14:paraId="674CB921" w14:textId="484EB333" w:rsidR="000713B8" w:rsidRDefault="00FC4849" w:rsidP="000713B8">
            <w:r>
              <w:t xml:space="preserve">Evaluated based on participation in the nine classes completed. </w:t>
            </w:r>
          </w:p>
        </w:tc>
      </w:tr>
      <w:tr w:rsidR="000713B8" w14:paraId="458E403B" w14:textId="77777777" w:rsidTr="00F1319E">
        <w:tc>
          <w:tcPr>
            <w:tcW w:w="2263" w:type="dxa"/>
          </w:tcPr>
          <w:p w14:paraId="5CEAC76D" w14:textId="446DD613" w:rsidR="000713B8" w:rsidRDefault="00FC4849" w:rsidP="000713B8">
            <w:proofErr w:type="spellStart"/>
            <w:r>
              <w:t>WileyPLUS</w:t>
            </w:r>
            <w:proofErr w:type="spellEnd"/>
          </w:p>
        </w:tc>
        <w:tc>
          <w:tcPr>
            <w:tcW w:w="1276" w:type="dxa"/>
          </w:tcPr>
          <w:p w14:paraId="35F1866D" w14:textId="192D8963" w:rsidR="000713B8" w:rsidRDefault="00FC4849" w:rsidP="000713B8">
            <w:r>
              <w:t>Online</w:t>
            </w:r>
          </w:p>
        </w:tc>
        <w:tc>
          <w:tcPr>
            <w:tcW w:w="1559" w:type="dxa"/>
          </w:tcPr>
          <w:p w14:paraId="0DBED7AC" w14:textId="482E656D" w:rsidR="000713B8" w:rsidRPr="00816888" w:rsidRDefault="004D7F91" w:rsidP="000713B8">
            <w:r>
              <w:t>25</w:t>
            </w:r>
            <w:r w:rsidR="00FC4849">
              <w:t>%</w:t>
            </w:r>
          </w:p>
        </w:tc>
        <w:tc>
          <w:tcPr>
            <w:tcW w:w="4252" w:type="dxa"/>
          </w:tcPr>
          <w:p w14:paraId="6D648D51" w14:textId="264BE217" w:rsidR="00FC4849" w:rsidRDefault="00EC278C" w:rsidP="00EC278C">
            <w:r>
              <w:t>Weekly as communicated</w:t>
            </w:r>
          </w:p>
        </w:tc>
      </w:tr>
      <w:tr w:rsidR="000713B8" w14:paraId="3A733634" w14:textId="77777777" w:rsidTr="00F1319E">
        <w:tc>
          <w:tcPr>
            <w:tcW w:w="2263" w:type="dxa"/>
          </w:tcPr>
          <w:p w14:paraId="5C87C993" w14:textId="2AC39261" w:rsidR="000713B8" w:rsidRDefault="00FC4849" w:rsidP="000713B8">
            <w:r>
              <w:t>Midterm exam</w:t>
            </w:r>
          </w:p>
        </w:tc>
        <w:tc>
          <w:tcPr>
            <w:tcW w:w="1276" w:type="dxa"/>
          </w:tcPr>
          <w:p w14:paraId="604CF646" w14:textId="31D99C6B" w:rsidR="000713B8" w:rsidRDefault="00FC4849" w:rsidP="000713B8">
            <w:r>
              <w:t>In person</w:t>
            </w:r>
          </w:p>
        </w:tc>
        <w:tc>
          <w:tcPr>
            <w:tcW w:w="1559" w:type="dxa"/>
          </w:tcPr>
          <w:p w14:paraId="0390CE86" w14:textId="01C3C3B4" w:rsidR="000713B8" w:rsidRPr="00816888" w:rsidRDefault="001F5CFA" w:rsidP="000713B8">
            <w:pPr>
              <w:rPr>
                <w:highlight w:val="yellow"/>
              </w:rPr>
            </w:pPr>
            <w:r>
              <w:t>58.3</w:t>
            </w:r>
            <w:r w:rsidR="00FC4849" w:rsidRPr="00FC4849">
              <w:t>%</w:t>
            </w:r>
          </w:p>
        </w:tc>
        <w:tc>
          <w:tcPr>
            <w:tcW w:w="4252" w:type="dxa"/>
          </w:tcPr>
          <w:p w14:paraId="654F9E27" w14:textId="6C43C26A" w:rsidR="00FC4849" w:rsidRDefault="001F5CFA" w:rsidP="000713B8">
            <w:r>
              <w:t>C</w:t>
            </w:r>
            <w:r w:rsidR="00FC4849">
              <w:t>ompleted.</w:t>
            </w:r>
            <w:r>
              <w:t xml:space="preserve"> </w:t>
            </w:r>
            <w:r w:rsidR="00FC4849">
              <w:t>Make-up exams to be completed online on April 3, 2020.</w:t>
            </w:r>
          </w:p>
        </w:tc>
      </w:tr>
    </w:tbl>
    <w:p w14:paraId="166AD140" w14:textId="77777777" w:rsidR="001F5CFA" w:rsidRDefault="001F5CFA" w:rsidP="004D7F91">
      <w:pPr>
        <w:textAlignment w:val="baseline"/>
        <w:rPr>
          <w:bCs/>
        </w:rPr>
      </w:pPr>
    </w:p>
    <w:p w14:paraId="29512AC0" w14:textId="73E09C85" w:rsidR="001F5CFA" w:rsidRPr="001F5CFA" w:rsidRDefault="00073FB0" w:rsidP="004D7F91">
      <w:pPr>
        <w:textAlignment w:val="baseline"/>
        <w:rPr>
          <w:bCs/>
          <w:sz w:val="22"/>
          <w:szCs w:val="22"/>
        </w:rPr>
      </w:pPr>
      <w:r w:rsidRPr="00073733">
        <w:rPr>
          <w:bCs/>
        </w:rPr>
        <w:t>†</w:t>
      </w:r>
      <w:r w:rsidR="001F5CFA" w:rsidRPr="001F5CFA">
        <w:rPr>
          <w:bCs/>
          <w:sz w:val="22"/>
          <w:szCs w:val="22"/>
        </w:rPr>
        <w:t xml:space="preserve">The </w:t>
      </w:r>
      <w:r w:rsidR="001F5CFA">
        <w:rPr>
          <w:bCs/>
          <w:sz w:val="22"/>
          <w:szCs w:val="22"/>
        </w:rPr>
        <w:t xml:space="preserve">weighting of the </w:t>
      </w:r>
      <w:r w:rsidR="001F5CFA" w:rsidRPr="001F5CFA">
        <w:rPr>
          <w:bCs/>
          <w:sz w:val="22"/>
          <w:szCs w:val="22"/>
        </w:rPr>
        <w:t xml:space="preserve">above components </w:t>
      </w:r>
      <w:proofErr w:type="gramStart"/>
      <w:r w:rsidR="001F5CFA" w:rsidRPr="001F5CFA">
        <w:rPr>
          <w:bCs/>
          <w:sz w:val="22"/>
          <w:szCs w:val="22"/>
        </w:rPr>
        <w:t>have</w:t>
      </w:r>
      <w:proofErr w:type="gramEnd"/>
      <w:r w:rsidR="001F5CFA" w:rsidRPr="001F5CFA">
        <w:rPr>
          <w:bCs/>
          <w:sz w:val="22"/>
          <w:szCs w:val="22"/>
        </w:rPr>
        <w:t xml:space="preserve"> been revised</w:t>
      </w:r>
      <w:r w:rsidR="001F5CFA">
        <w:rPr>
          <w:bCs/>
          <w:sz w:val="22"/>
          <w:szCs w:val="22"/>
        </w:rPr>
        <w:t xml:space="preserve"> to reflect there will be no final exam, and that 60% of course work has been completed. The weightings have been calculated using the original percentages divided by 60 (i.e., participation 10/60 = 16.7%, Wiley 15/60 = 25%, etc.) </w:t>
      </w:r>
    </w:p>
    <w:p w14:paraId="21C3A75A" w14:textId="77777777" w:rsidR="001F5CFA" w:rsidRDefault="001F5CFA" w:rsidP="004D7F91">
      <w:pPr>
        <w:textAlignment w:val="baseline"/>
        <w:rPr>
          <w:bCs/>
        </w:rPr>
      </w:pPr>
    </w:p>
    <w:p w14:paraId="34CD4F38" w14:textId="0F3AF97C" w:rsidR="004D7F91" w:rsidRPr="002B640E" w:rsidRDefault="004D7F91" w:rsidP="002B640E">
      <w:pPr>
        <w:rPr>
          <w:rFonts w:ascii="Times New Roman" w:eastAsia="Times New Roman" w:hAnsi="Times New Roman" w:cs="Times New Roman"/>
        </w:rPr>
      </w:pPr>
      <w:r>
        <w:rPr>
          <w:bCs/>
        </w:rPr>
        <w:t>S</w:t>
      </w:r>
      <w:r w:rsidRPr="004D7F91">
        <w:rPr>
          <w:rFonts w:ascii="Segoe UI" w:eastAsia="Times New Roman" w:hAnsi="Segoe UI" w:cs="Segoe UI"/>
          <w:color w:val="201F1E"/>
          <w:sz w:val="23"/>
          <w:szCs w:val="23"/>
        </w:rPr>
        <w:t>tudents will be given a numerical grade based on course work completed to date with the option to change this to pass/fail if desired</w:t>
      </w:r>
      <w:r w:rsidR="00073FB0">
        <w:rPr>
          <w:rFonts w:ascii="Segoe UI" w:eastAsia="Times New Roman" w:hAnsi="Segoe UI" w:cs="Segoe UI"/>
          <w:color w:val="201F1E"/>
          <w:sz w:val="23"/>
          <w:szCs w:val="23"/>
        </w:rPr>
        <w:t>.</w:t>
      </w:r>
      <w:r w:rsidR="002B640E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Pr="004D7F91">
        <w:rPr>
          <w:rFonts w:ascii="Segoe UI" w:eastAsia="Times New Roman" w:hAnsi="Segoe UI" w:cs="Segoe UI"/>
          <w:color w:val="201F1E"/>
          <w:sz w:val="23"/>
          <w:szCs w:val="23"/>
        </w:rPr>
        <w:t>An additional assessment option is available for students who have “failed” and wish to complete additional work towards their course grade</w:t>
      </w:r>
      <w:r>
        <w:rPr>
          <w:rFonts w:ascii="Segoe UI" w:eastAsia="Times New Roman" w:hAnsi="Segoe UI" w:cs="Segoe UI"/>
          <w:color w:val="201F1E"/>
          <w:sz w:val="23"/>
          <w:szCs w:val="23"/>
        </w:rPr>
        <w:t>.</w:t>
      </w:r>
      <w:r w:rsidRPr="004D7F91">
        <w:rPr>
          <w:rFonts w:ascii="Segoe UI" w:eastAsia="Times New Roman" w:hAnsi="Segoe UI" w:cs="Segoe UI"/>
          <w:color w:val="201F1E"/>
          <w:sz w:val="23"/>
          <w:szCs w:val="23"/>
        </w:rPr>
        <w:t> </w:t>
      </w:r>
      <w:r w:rsidR="00FA3A36">
        <w:rPr>
          <w:rFonts w:ascii="Segoe UI" w:eastAsia="Times New Roman" w:hAnsi="Segoe UI" w:cs="Segoe UI"/>
          <w:color w:val="201F1E"/>
          <w:sz w:val="23"/>
          <w:szCs w:val="23"/>
        </w:rPr>
        <w:t xml:space="preserve">These students will then be given a pass / fail grade only. </w:t>
      </w:r>
    </w:p>
    <w:p w14:paraId="4364F12F" w14:textId="77777777" w:rsidR="004D7F91" w:rsidRPr="004D7F91" w:rsidRDefault="004D7F91" w:rsidP="004D7F91">
      <w:pPr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</w:p>
    <w:p w14:paraId="128569C0" w14:textId="73301CB5" w:rsidR="004D7F91" w:rsidRPr="004D7F91" w:rsidRDefault="004D7F91" w:rsidP="004D7F91">
      <w:pPr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>
        <w:rPr>
          <w:bCs/>
        </w:rPr>
        <w:t>This a</w:t>
      </w:r>
      <w:r w:rsidRPr="004D7F91">
        <w:rPr>
          <w:rFonts w:ascii="Segoe UI" w:eastAsia="Times New Roman" w:hAnsi="Segoe UI" w:cs="Segoe UI"/>
          <w:color w:val="201F1E"/>
          <w:sz w:val="23"/>
          <w:szCs w:val="23"/>
        </w:rPr>
        <w:t xml:space="preserve">pplies only if </w:t>
      </w:r>
      <w:r w:rsidR="00073FB0">
        <w:rPr>
          <w:rFonts w:ascii="Segoe UI" w:eastAsia="Times New Roman" w:hAnsi="Segoe UI" w:cs="Segoe UI"/>
          <w:color w:val="201F1E"/>
          <w:sz w:val="23"/>
          <w:szCs w:val="23"/>
        </w:rPr>
        <w:t>students</w:t>
      </w:r>
      <w:r w:rsidRPr="004D7F91">
        <w:rPr>
          <w:rFonts w:ascii="Segoe UI" w:eastAsia="Times New Roman" w:hAnsi="Segoe UI" w:cs="Segoe UI"/>
          <w:color w:val="201F1E"/>
          <w:sz w:val="23"/>
          <w:szCs w:val="23"/>
        </w:rPr>
        <w:t xml:space="preserve"> have completed 60% of the course work; students who have not yet written a midterm evaluation will be required to do so.</w:t>
      </w:r>
    </w:p>
    <w:p w14:paraId="7ED18E46" w14:textId="29EBEB10" w:rsidR="00986A8E" w:rsidRDefault="00986A8E"/>
    <w:p w14:paraId="5AA57F68" w14:textId="77777777" w:rsidR="001F5CFA" w:rsidRDefault="001F5CFA"/>
    <w:p w14:paraId="16017A73" w14:textId="77777777" w:rsidR="00F1319E" w:rsidRDefault="00F1319E"/>
    <w:p w14:paraId="308E21E6" w14:textId="7368028B" w:rsidR="00C31124" w:rsidRDefault="473FF6D1"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* This schedule is </w:t>
      </w:r>
      <w:r w:rsidR="00863D23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effective</w:t>
      </w:r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as of March 18, 2020.</w:t>
      </w:r>
    </w:p>
    <w:p w14:paraId="299AAA8C" w14:textId="1A6C8F31" w:rsidR="35A8C4FC" w:rsidRDefault="35A8C4FC" w:rsidP="35A8C4FC">
      <w:pPr>
        <w:rPr>
          <w:rFonts w:ascii="Calibri" w:eastAsia="Calibri" w:hAnsi="Calibri" w:cs="Calibri"/>
        </w:rPr>
      </w:pPr>
      <w:r w:rsidRPr="35A8C4FC">
        <w:rPr>
          <w:rFonts w:ascii="Calibri" w:eastAsia="Calibri" w:hAnsi="Calibri" w:cs="Calibri"/>
        </w:rPr>
        <w:t>** Note that previously completed assessments may have been re-weighed.</w:t>
      </w:r>
    </w:p>
    <w:p w14:paraId="68974412" w14:textId="5C2D1FDC" w:rsidR="35A8C4FC" w:rsidRDefault="35A8C4FC" w:rsidP="35A8C4FC">
      <w:pPr>
        <w:spacing w:line="259" w:lineRule="auto"/>
      </w:pPr>
      <w:r w:rsidRPr="35A8C4FC">
        <w:rPr>
          <w:rFonts w:ascii="Calibri" w:eastAsia="Calibri" w:hAnsi="Calibri" w:cs="Calibri"/>
        </w:rPr>
        <w:t>*** Any revisions to this document including course content and/or assessments will be communicated as appropriate.</w:t>
      </w:r>
    </w:p>
    <w:p w14:paraId="1C57A183" w14:textId="205FAD52" w:rsidR="00E87EAE" w:rsidRPr="00E87EAE" w:rsidRDefault="00E87EAE" w:rsidP="00E87EAE"/>
    <w:p w14:paraId="32A8DEAA" w14:textId="5C5BC217" w:rsidR="54C0159D" w:rsidRDefault="54C0159D"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Approved by Department:    </w:t>
      </w:r>
      <w:r w:rsidR="007658CF">
        <w:rPr>
          <w:rFonts w:ascii="Calibri" w:eastAsia="Calibri" w:hAnsi="Calibri" w:cs="Calibri"/>
          <w:color w:val="000000" w:themeColor="text1"/>
          <w:lang w:val="en-US"/>
        </w:rPr>
        <w:tab/>
      </w:r>
      <w:r w:rsidR="007658CF">
        <w:rPr>
          <w:rFonts w:ascii="Calibri" w:eastAsia="Calibri" w:hAnsi="Calibri" w:cs="Calibri"/>
          <w:color w:val="000000" w:themeColor="text1"/>
          <w:lang w:val="en-US"/>
        </w:rPr>
        <w:tab/>
      </w:r>
      <w:proofErr w:type="gramStart"/>
      <w:r w:rsidR="007658CF">
        <w:rPr>
          <w:rFonts w:ascii="Calibri" w:eastAsia="Calibri" w:hAnsi="Calibri" w:cs="Calibri"/>
          <w:color w:val="000000" w:themeColor="text1"/>
          <w:lang w:val="en-US"/>
        </w:rPr>
        <w:tab/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 </w:t>
      </w:r>
      <w:r w:rsidR="00FC4849">
        <w:rPr>
          <w:rFonts w:ascii="Calibri" w:eastAsia="Calibri" w:hAnsi="Calibri" w:cs="Calibri"/>
          <w:color w:val="000000" w:themeColor="text1"/>
          <w:lang w:val="en-US"/>
        </w:rPr>
        <w:tab/>
      </w:r>
      <w:proofErr w:type="gramEnd"/>
      <w:r w:rsidR="00FC4849">
        <w:rPr>
          <w:rFonts w:ascii="Calibri" w:eastAsia="Calibri" w:hAnsi="Calibri" w:cs="Calibri"/>
          <w:color w:val="000000" w:themeColor="text1"/>
          <w:lang w:val="en-US"/>
        </w:rPr>
        <w:tab/>
      </w:r>
      <w:r w:rsidR="00FC4849">
        <w:rPr>
          <w:rFonts w:ascii="Calibri" w:eastAsia="Calibri" w:hAnsi="Calibri" w:cs="Calibri"/>
          <w:color w:val="000000" w:themeColor="text1"/>
          <w:lang w:val="en-US"/>
        </w:rPr>
        <w:tab/>
      </w:r>
      <w:r w:rsidR="00FC4849">
        <w:rPr>
          <w:rFonts w:ascii="Calibri" w:eastAsia="Calibri" w:hAnsi="Calibri" w:cs="Calibri"/>
          <w:color w:val="000000" w:themeColor="text1"/>
          <w:lang w:val="en-US"/>
        </w:rPr>
        <w:tab/>
      </w:r>
      <w:r w:rsidR="00FC4849">
        <w:rPr>
          <w:rFonts w:ascii="Calibri" w:eastAsia="Calibri" w:hAnsi="Calibri" w:cs="Calibri"/>
          <w:color w:val="000000" w:themeColor="text1"/>
          <w:lang w:val="en-US"/>
        </w:rPr>
        <w:tab/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March </w:t>
      </w:r>
      <w:r w:rsidR="007658CF">
        <w:rPr>
          <w:rFonts w:ascii="Calibri" w:eastAsia="Calibri" w:hAnsi="Calibri" w:cs="Calibri"/>
          <w:color w:val="000000" w:themeColor="text1"/>
          <w:lang w:val="en-US"/>
        </w:rPr>
        <w:t>xx</w:t>
      </w:r>
      <w:r w:rsidR="448987D4" w:rsidRPr="448987D4">
        <w:rPr>
          <w:rFonts w:ascii="Calibri" w:eastAsia="Calibri" w:hAnsi="Calibri" w:cs="Calibri"/>
          <w:color w:val="000000" w:themeColor="text1"/>
          <w:lang w:val="en-US"/>
        </w:rPr>
        <w:t>,</w:t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2020</w:t>
      </w:r>
    </w:p>
    <w:sectPr w:rsidR="54C0159D" w:rsidSect="001F5CFA">
      <w:headerReference w:type="default" r:id="rId7"/>
      <w:pgSz w:w="12240" w:h="15840"/>
      <w:pgMar w:top="9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54CDE" w14:textId="77777777" w:rsidR="007003C7" w:rsidRDefault="007003C7" w:rsidP="00C93AF7">
      <w:r>
        <w:separator/>
      </w:r>
    </w:p>
  </w:endnote>
  <w:endnote w:type="continuationSeparator" w:id="0">
    <w:p w14:paraId="3F7DDFEA" w14:textId="77777777" w:rsidR="007003C7" w:rsidRDefault="007003C7" w:rsidP="00C93AF7">
      <w:r>
        <w:continuationSeparator/>
      </w:r>
    </w:p>
  </w:endnote>
  <w:endnote w:type="continuationNotice" w:id="1">
    <w:p w14:paraId="415DE8C7" w14:textId="77777777" w:rsidR="007003C7" w:rsidRDefault="007003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136E1" w14:textId="77777777" w:rsidR="007003C7" w:rsidRDefault="007003C7" w:rsidP="00C93AF7">
      <w:r>
        <w:separator/>
      </w:r>
    </w:p>
  </w:footnote>
  <w:footnote w:type="continuationSeparator" w:id="0">
    <w:p w14:paraId="545503C8" w14:textId="77777777" w:rsidR="007003C7" w:rsidRDefault="007003C7" w:rsidP="00C93AF7">
      <w:r>
        <w:continuationSeparator/>
      </w:r>
    </w:p>
  </w:footnote>
  <w:footnote w:type="continuationNotice" w:id="1">
    <w:p w14:paraId="0F03B9F4" w14:textId="77777777" w:rsidR="007003C7" w:rsidRDefault="007003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D40C1" w14:textId="020B584B" w:rsidR="00C93AF7" w:rsidRDefault="00B974B4" w:rsidP="00682A95">
    <w:pPr>
      <w:pStyle w:val="Header"/>
      <w:jc w:val="right"/>
    </w:pPr>
    <w:r>
      <w:t>DAN Management</w:t>
    </w:r>
    <w:r w:rsidR="00CA4A73">
      <w:t xml:space="preserve"> </w:t>
    </w:r>
    <w:r>
      <w:t>Course Changes</w:t>
    </w:r>
    <w:r w:rsidR="00B918ED">
      <w:t xml:space="preserve"> March </w:t>
    </w:r>
    <w:r w:rsidR="00B90A50"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0511C"/>
    <w:multiLevelType w:val="hybridMultilevel"/>
    <w:tmpl w:val="DFE03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381AFD"/>
    <w:multiLevelType w:val="hybridMultilevel"/>
    <w:tmpl w:val="FFFFFFFF"/>
    <w:lvl w:ilvl="0" w:tplc="4072C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62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0A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EB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4C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E1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06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61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86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17DEA"/>
    <w:multiLevelType w:val="hybridMultilevel"/>
    <w:tmpl w:val="0A70D3BE"/>
    <w:lvl w:ilvl="0" w:tplc="2904FD0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64BAE"/>
    <w:multiLevelType w:val="hybridMultilevel"/>
    <w:tmpl w:val="FFFFFFFF"/>
    <w:lvl w:ilvl="0" w:tplc="0D7A6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4F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6F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61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88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347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66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2E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64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F4181"/>
    <w:multiLevelType w:val="hybridMultilevel"/>
    <w:tmpl w:val="2B909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24"/>
    <w:rsid w:val="000113E8"/>
    <w:rsid w:val="00017812"/>
    <w:rsid w:val="0004192F"/>
    <w:rsid w:val="000713B8"/>
    <w:rsid w:val="00073FB0"/>
    <w:rsid w:val="000D00A3"/>
    <w:rsid w:val="000D0CC2"/>
    <w:rsid w:val="000E1D40"/>
    <w:rsid w:val="000F2595"/>
    <w:rsid w:val="000F50AC"/>
    <w:rsid w:val="00115B47"/>
    <w:rsid w:val="0014578E"/>
    <w:rsid w:val="0015130F"/>
    <w:rsid w:val="0015552C"/>
    <w:rsid w:val="001768AD"/>
    <w:rsid w:val="00182876"/>
    <w:rsid w:val="001A3C62"/>
    <w:rsid w:val="001A47A4"/>
    <w:rsid w:val="001C0D8A"/>
    <w:rsid w:val="001C320D"/>
    <w:rsid w:val="001D1FFC"/>
    <w:rsid w:val="001E1AE9"/>
    <w:rsid w:val="001F5CFA"/>
    <w:rsid w:val="00210B1A"/>
    <w:rsid w:val="002159EF"/>
    <w:rsid w:val="00220E02"/>
    <w:rsid w:val="00230544"/>
    <w:rsid w:val="002502CF"/>
    <w:rsid w:val="0025176D"/>
    <w:rsid w:val="00261702"/>
    <w:rsid w:val="00265EE0"/>
    <w:rsid w:val="00275474"/>
    <w:rsid w:val="00286890"/>
    <w:rsid w:val="0029206E"/>
    <w:rsid w:val="002A0A3D"/>
    <w:rsid w:val="002A7713"/>
    <w:rsid w:val="002B3EBB"/>
    <w:rsid w:val="002B640E"/>
    <w:rsid w:val="002C000C"/>
    <w:rsid w:val="002D2AF1"/>
    <w:rsid w:val="002D4905"/>
    <w:rsid w:val="002E4BB5"/>
    <w:rsid w:val="00321F8D"/>
    <w:rsid w:val="00330A1A"/>
    <w:rsid w:val="003372E7"/>
    <w:rsid w:val="00362414"/>
    <w:rsid w:val="0039075D"/>
    <w:rsid w:val="00391A52"/>
    <w:rsid w:val="003A53C8"/>
    <w:rsid w:val="003B4D34"/>
    <w:rsid w:val="003C5640"/>
    <w:rsid w:val="003C56C5"/>
    <w:rsid w:val="003D5D91"/>
    <w:rsid w:val="003D66BE"/>
    <w:rsid w:val="003D69D0"/>
    <w:rsid w:val="003F667F"/>
    <w:rsid w:val="00423E7F"/>
    <w:rsid w:val="00424D45"/>
    <w:rsid w:val="00426311"/>
    <w:rsid w:val="0042635F"/>
    <w:rsid w:val="00455D52"/>
    <w:rsid w:val="00470842"/>
    <w:rsid w:val="004C102C"/>
    <w:rsid w:val="004C10CB"/>
    <w:rsid w:val="004D1163"/>
    <w:rsid w:val="004D3278"/>
    <w:rsid w:val="004D534C"/>
    <w:rsid w:val="004D7F91"/>
    <w:rsid w:val="005060DD"/>
    <w:rsid w:val="00557AC5"/>
    <w:rsid w:val="005A043F"/>
    <w:rsid w:val="005A20DF"/>
    <w:rsid w:val="005A79A9"/>
    <w:rsid w:val="005B4007"/>
    <w:rsid w:val="005D2804"/>
    <w:rsid w:val="005D513C"/>
    <w:rsid w:val="005E4A01"/>
    <w:rsid w:val="00600AA9"/>
    <w:rsid w:val="006226AD"/>
    <w:rsid w:val="00634BD4"/>
    <w:rsid w:val="00656216"/>
    <w:rsid w:val="0066229C"/>
    <w:rsid w:val="00676C02"/>
    <w:rsid w:val="00682A95"/>
    <w:rsid w:val="00693884"/>
    <w:rsid w:val="006B3356"/>
    <w:rsid w:val="006B3BDA"/>
    <w:rsid w:val="006B5416"/>
    <w:rsid w:val="006C78F1"/>
    <w:rsid w:val="006E1B78"/>
    <w:rsid w:val="006F69AD"/>
    <w:rsid w:val="007003C7"/>
    <w:rsid w:val="00712F01"/>
    <w:rsid w:val="0075087B"/>
    <w:rsid w:val="007658CF"/>
    <w:rsid w:val="00771FFD"/>
    <w:rsid w:val="0077346F"/>
    <w:rsid w:val="007B596A"/>
    <w:rsid w:val="007D25D0"/>
    <w:rsid w:val="007E3ECF"/>
    <w:rsid w:val="007F0218"/>
    <w:rsid w:val="00816888"/>
    <w:rsid w:val="008216BC"/>
    <w:rsid w:val="008236AD"/>
    <w:rsid w:val="00827442"/>
    <w:rsid w:val="00836A86"/>
    <w:rsid w:val="008466EE"/>
    <w:rsid w:val="00846B4A"/>
    <w:rsid w:val="0085038A"/>
    <w:rsid w:val="00863D23"/>
    <w:rsid w:val="00863EAA"/>
    <w:rsid w:val="0086542B"/>
    <w:rsid w:val="00881FA9"/>
    <w:rsid w:val="00885DFB"/>
    <w:rsid w:val="00887C9C"/>
    <w:rsid w:val="00892B72"/>
    <w:rsid w:val="00896800"/>
    <w:rsid w:val="008A004A"/>
    <w:rsid w:val="008A6280"/>
    <w:rsid w:val="008C6FEA"/>
    <w:rsid w:val="008E03A9"/>
    <w:rsid w:val="008F7FCE"/>
    <w:rsid w:val="009005E6"/>
    <w:rsid w:val="00915CBF"/>
    <w:rsid w:val="009423E7"/>
    <w:rsid w:val="0094469E"/>
    <w:rsid w:val="00973805"/>
    <w:rsid w:val="009751A4"/>
    <w:rsid w:val="00986A8E"/>
    <w:rsid w:val="0099702B"/>
    <w:rsid w:val="009B4707"/>
    <w:rsid w:val="009B642A"/>
    <w:rsid w:val="009B691D"/>
    <w:rsid w:val="009D4E83"/>
    <w:rsid w:val="00A0235E"/>
    <w:rsid w:val="00A079C8"/>
    <w:rsid w:val="00A11661"/>
    <w:rsid w:val="00A11F3C"/>
    <w:rsid w:val="00A220D7"/>
    <w:rsid w:val="00A27DD2"/>
    <w:rsid w:val="00A448F9"/>
    <w:rsid w:val="00A45B32"/>
    <w:rsid w:val="00A8645F"/>
    <w:rsid w:val="00A8750C"/>
    <w:rsid w:val="00A951BA"/>
    <w:rsid w:val="00AA0155"/>
    <w:rsid w:val="00AA5610"/>
    <w:rsid w:val="00AE192A"/>
    <w:rsid w:val="00B105A7"/>
    <w:rsid w:val="00B16CCB"/>
    <w:rsid w:val="00B778E3"/>
    <w:rsid w:val="00B8489E"/>
    <w:rsid w:val="00B90A50"/>
    <w:rsid w:val="00B918ED"/>
    <w:rsid w:val="00B974B4"/>
    <w:rsid w:val="00BB4066"/>
    <w:rsid w:val="00BB463D"/>
    <w:rsid w:val="00BD09C4"/>
    <w:rsid w:val="00BE2255"/>
    <w:rsid w:val="00C31124"/>
    <w:rsid w:val="00C35B34"/>
    <w:rsid w:val="00C44724"/>
    <w:rsid w:val="00C6272B"/>
    <w:rsid w:val="00C86392"/>
    <w:rsid w:val="00C93AF7"/>
    <w:rsid w:val="00CA0579"/>
    <w:rsid w:val="00CA3E96"/>
    <w:rsid w:val="00CA4A73"/>
    <w:rsid w:val="00CA5D8B"/>
    <w:rsid w:val="00CB2279"/>
    <w:rsid w:val="00CB67C7"/>
    <w:rsid w:val="00CF7804"/>
    <w:rsid w:val="00D115E2"/>
    <w:rsid w:val="00D35333"/>
    <w:rsid w:val="00D45C86"/>
    <w:rsid w:val="00D51A3F"/>
    <w:rsid w:val="00D56C73"/>
    <w:rsid w:val="00D616F4"/>
    <w:rsid w:val="00D769B5"/>
    <w:rsid w:val="00D91FD3"/>
    <w:rsid w:val="00D94ABA"/>
    <w:rsid w:val="00D95D18"/>
    <w:rsid w:val="00DA42A0"/>
    <w:rsid w:val="00DA653B"/>
    <w:rsid w:val="00DB67EB"/>
    <w:rsid w:val="00DF34AD"/>
    <w:rsid w:val="00E026F8"/>
    <w:rsid w:val="00E03512"/>
    <w:rsid w:val="00E1150F"/>
    <w:rsid w:val="00E15367"/>
    <w:rsid w:val="00E17D18"/>
    <w:rsid w:val="00E32CA9"/>
    <w:rsid w:val="00E87EAE"/>
    <w:rsid w:val="00EA09D0"/>
    <w:rsid w:val="00EA10D6"/>
    <w:rsid w:val="00EA1911"/>
    <w:rsid w:val="00EC278C"/>
    <w:rsid w:val="00EC300F"/>
    <w:rsid w:val="00F07A69"/>
    <w:rsid w:val="00F1319E"/>
    <w:rsid w:val="00F23F42"/>
    <w:rsid w:val="00F26AC4"/>
    <w:rsid w:val="00F53B8C"/>
    <w:rsid w:val="00F63818"/>
    <w:rsid w:val="00F7358B"/>
    <w:rsid w:val="00F756F6"/>
    <w:rsid w:val="00F82168"/>
    <w:rsid w:val="00FA38F6"/>
    <w:rsid w:val="00FA3A36"/>
    <w:rsid w:val="00FC4849"/>
    <w:rsid w:val="00FC5FA1"/>
    <w:rsid w:val="00FC7B31"/>
    <w:rsid w:val="00FD0E4C"/>
    <w:rsid w:val="00FF05E0"/>
    <w:rsid w:val="00FF1420"/>
    <w:rsid w:val="00FF4397"/>
    <w:rsid w:val="00FF7798"/>
    <w:rsid w:val="0447A425"/>
    <w:rsid w:val="0635E7A6"/>
    <w:rsid w:val="071A9281"/>
    <w:rsid w:val="091F1574"/>
    <w:rsid w:val="0B90B6F1"/>
    <w:rsid w:val="0FE2049B"/>
    <w:rsid w:val="111C3473"/>
    <w:rsid w:val="13B76443"/>
    <w:rsid w:val="17224391"/>
    <w:rsid w:val="17465192"/>
    <w:rsid w:val="202F6D98"/>
    <w:rsid w:val="2B987CB6"/>
    <w:rsid w:val="2E3C02FA"/>
    <w:rsid w:val="33053397"/>
    <w:rsid w:val="35A8C4FC"/>
    <w:rsid w:val="360A6EB2"/>
    <w:rsid w:val="372861F2"/>
    <w:rsid w:val="3CF186D5"/>
    <w:rsid w:val="432C737A"/>
    <w:rsid w:val="442FF6BC"/>
    <w:rsid w:val="448987D4"/>
    <w:rsid w:val="47084CC5"/>
    <w:rsid w:val="473FF6D1"/>
    <w:rsid w:val="47DAD3FF"/>
    <w:rsid w:val="486AA41C"/>
    <w:rsid w:val="493D3581"/>
    <w:rsid w:val="4B2549AA"/>
    <w:rsid w:val="4B883E03"/>
    <w:rsid w:val="4D52FB4B"/>
    <w:rsid w:val="4DB04D94"/>
    <w:rsid w:val="4DFE9156"/>
    <w:rsid w:val="5196A13A"/>
    <w:rsid w:val="520C4BFE"/>
    <w:rsid w:val="5253BD28"/>
    <w:rsid w:val="54C0159D"/>
    <w:rsid w:val="5A534241"/>
    <w:rsid w:val="5A58CDCA"/>
    <w:rsid w:val="5ABB887B"/>
    <w:rsid w:val="5F48A1E9"/>
    <w:rsid w:val="61BB4303"/>
    <w:rsid w:val="6EEE859C"/>
    <w:rsid w:val="70CB856D"/>
    <w:rsid w:val="71A1ED06"/>
    <w:rsid w:val="755F6E84"/>
    <w:rsid w:val="7AE46D37"/>
    <w:rsid w:val="7F2CA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A70B"/>
  <w15:chartTrackingRefBased/>
  <w15:docId w15:val="{7FB6EBB9-224B-A94D-9A8E-1DF3F848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8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3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4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84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AF7"/>
  </w:style>
  <w:style w:type="paragraph" w:styleId="Footer">
    <w:name w:val="footer"/>
    <w:basedOn w:val="Normal"/>
    <w:link w:val="Foot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AF7"/>
  </w:style>
  <w:style w:type="paragraph" w:styleId="ListParagraph">
    <w:name w:val="List Paragraph"/>
    <w:basedOn w:val="Normal"/>
    <w:uiPriority w:val="34"/>
    <w:qFormat/>
    <w:rsid w:val="00FC484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D7F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7F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7F91"/>
    <w:rPr>
      <w:vertAlign w:val="superscript"/>
    </w:rPr>
  </w:style>
  <w:style w:type="character" w:customStyle="1" w:styleId="apple-converted-space">
    <w:name w:val="apple-converted-space"/>
    <w:basedOn w:val="DefaultParagraphFont"/>
    <w:rsid w:val="00073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Campbell</dc:creator>
  <cp:keywords/>
  <dc:description/>
  <cp:lastModifiedBy>Christina Maco</cp:lastModifiedBy>
  <cp:revision>8</cp:revision>
  <dcterms:created xsi:type="dcterms:W3CDTF">2020-03-27T20:21:00Z</dcterms:created>
  <dcterms:modified xsi:type="dcterms:W3CDTF">2020-03-30T15:40:00Z</dcterms:modified>
</cp:coreProperties>
</file>